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1747 BGB — Einwilligung der Eltern des Kindes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Annahme eines Kindes ist die Einwilligung der Eltern erforderlich. Sofern kein anderer Mann nach § 1592 als Vater anzusehen ist, gilt im Sinne des Satzes 1 und des § 1748 Abs. 4 als Vater, wer die Voraussetzung des § 1600d Abs. 2 Satz 1 glaubhaft macht.</w:t>
      </w:r>
    </w:p>
    <w:p>
      <w:r>
        <w:t xml:space="preserve">(2) Die Einwilligung kann erst erteilt werden, wenn das Kind acht Wochen alt ist. Sie ist auch dann wirksam, wenn der Einwilligende die schon feststehenden Annehmenden nicht kennt.</w:t>
      </w:r>
    </w:p>
    <w:p>
      <w:r>
        <w:t xml:space="preserve">(3) Steht nicht miteinander verheirateten Eltern die elterliche Sorge nicht gemeinsam zu, so</w:t>
      </w:r>
    </w:p>
    <w:p>
      <w:pPr>
        <w:ind w:left="420"/>
      </w:pPr>
      <w:r>
        <w:t xml:space="preserve">1. kann die Einwilligung des Vaters bereits vor der Geburt erteilt werden;</w:t>
      </w:r>
    </w:p>
    <w:p>
      <w:pPr>
        <w:ind w:left="420"/>
      </w:pPr>
      <w:r>
        <w:t xml:space="preserve">2. kann der Vater durch öffentlich beurkundete Erklärung darauf verzichten, die Übertragung der Sorge nach § 1626a Absatz 2 und § 1671 Absatz 2 zu beantragen; § 1750 gilt sinngemäß mit Ausnahme von Absatz 1 Satz 2 und Absatz 4 Satz 1;</w:t>
      </w:r>
    </w:p>
    <w:p>
      <w:pPr>
        <w:ind w:left="420"/>
      </w:pPr>
      <w:r>
        <w:t xml:space="preserve">3. darf, wenn der Vater die Übertragung der Sorge nach § 1626a Absatz 2 oder § 1671 Absatz 2 beantragt hat, eine Annahme erst ausgesprochen werden, nachdem über den Antrag des Vaters entschieden worden ist.</w:t>
      </w:r>
    </w:p>
    <w:p>
      <w:r>
        <w:t xml:space="preserve">(4) Die Einwilligung eines Elternteils ist nicht erforderlich, wenn er zur Abgabe einer Erklärung dauernd außerstande oder sein Aufenthalt dauernd unbekannt ist. Der Aufenthalt der Mutter eines gemäß § 25 Absatz 1 des Schwangerschaftskonfliktgesetzes vertraulich geborenen Kindes gilt als dauernd unbekannt, bis sie gegenüber dem Familiengericht die für den Geburtseintrag ihres Kindes erforderlichen Angaben macht.</w:t>
      </w:r>
    </w:p>
    <w:p>
      <w:r>
        <w:rPr>
          <w:color w:val="555555"/>
          <w:sz w:val="17"/>
        </w:rPr>
        <w:t xml:space="preserve">Zitiervorschlag: § 1747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https://recht.nulegal.eu/gesetze/BGB/1747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