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172 BGB — Vollmachtsurkunde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besonderen Mitteilung einer Bevollmächtigung durch den Vollmachtgeber steht es gleich, wenn dieser dem Vertreter eine Vollmachtsurkunde ausgehändigt hat und der Vertreter sie dem Dritten vorlegt.</w:t>
      </w:r>
    </w:p>
    <w:p>
      <w:r>
        <w:t xml:space="preserve">(2) Die Vertretungsmacht bleibt bestehen, bis die Vollmachtsurkunde dem Vollmachtgeber zurückgegeben oder für kraftlos erklärt wird.</w:t>
      </w:r>
    </w:p>
    <w:p>
      <w:r>
        <w:rPr>
          <w:color w:val="555555"/>
          <w:sz w:val="17"/>
        </w:rPr>
        <w:t xml:space="preserve">Zitiervorschlag: § 172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