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1716 BGB — Wirkungen der Beistandschaft</w:t>
      </w:r>
    </w:p>
    <w:p>
      <w:r>
        <w:rPr>
          <w:color w:val="555555"/>
          <w:sz w:val="18"/>
        </w:rPr>
        <w:t xml:space="preserve">Bürgerliches Gesetzbuch</w:t>
      </w:r>
    </w:p>
    <w:p>
      <w:r>
        <w:rPr>
          <w:color w:val="555555"/>
          <w:sz w:val="18"/>
        </w:rPr>
        <w:t xml:space="preserve">Stand: 01.01.2023 (konsolidierte Textfassung, kein amtliches Inkrafttretensdatum)</w:t>
      </w:r>
    </w:p>
    <w:p>
      <w:r>
        <w:t xml:space="preserve">Durch die Beistandschaft wird die elterliche Sorge nicht eingeschränkt. Im Übrigen gelten die Vorschriften über die Pflegschaft für Minderjährige mit Ausnahme derjenigen über die Aufsicht des Familiengerichts und die Rechnungslegung sinngemäß.</w:t>
      </w:r>
    </w:p>
    <w:p>
      <w:r>
        <w:rPr>
          <w:color w:val="555555"/>
          <w:sz w:val="17"/>
        </w:rPr>
        <w:t xml:space="preserve">Zitiervorschlag: § 1716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https://recht.nulegal.eu/gesetze/BGB/1716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