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1697a BGB — Kindeswohlprinzip</w:t>
      </w:r>
    </w:p>
    <w:p>
      <w:r>
        <w:rPr>
          <w:color w:val="555555"/>
          <w:sz w:val="18"/>
        </w:rPr>
        <w:t xml:space="preserve">Bürgerliches Gesetzbuch</w:t>
      </w:r>
    </w:p>
    <w:p>
      <w:r>
        <w:rPr>
          <w:color w:val="555555"/>
          <w:sz w:val="18"/>
        </w:rPr>
        <w:t xml:space="preserve">Stand: 11.06.2021 (konsolidierte Textfassung, kein amtliches Inkrafttretensdatum)</w:t>
      </w:r>
    </w:p>
    <w:p>
      <w:r>
        <w:t xml:space="preserve">(1) Soweit nichts anderes bestimmt ist, trifft das Gericht in Verfahren über die in diesem Titel geregelten Angelegenheiten diejenige Entscheidung, die unter Berücksichtigung der tatsächlichen Gegebenheiten und Möglichkeiten sowie der berechtigten Interessen der Beteiligten dem Wohl des Kindes am besten entspricht.</w:t>
      </w:r>
    </w:p>
    <w:p>
      <w:r>
        <w:t xml:space="preserve">(2) Lebt das Kind in Familienpflege, so hat das Gericht, soweit nichts anderes bestimmt ist, in Verfahren über die in diesem Titel geregelten Angelegenheiten auch zu berücksichtigen, ob und inwieweit sich innerhalb eines im Hinblick auf die Entwicklung des Kindes vertretbaren Zeitraums die Erziehungsverhältnisse bei den Eltern derart verbessert haben, dass diese das Kind selbst erziehen können. Liegen die Voraussetzungen des § 1632 Absatz 4 Satz 2 Nummer 1 vor, so hat das Gericht bei seiner Entscheidung auch das Bedürfnis des Kindes nach kontinuierlichen und stabilen Lebensverhältnissen zu berücksichtigen. Die Sätze 1 und 2 gelten entsprechend, wenn das Kind im Rahmen einer Hilfe nach § 34 oder 35a Absatz 2 Nummer 4 des Achten Buches Sozialgesetzbuch erzogen und betreut wird.</w:t>
      </w:r>
    </w:p>
    <w:p>
      <w:r>
        <w:rPr>
          <w:color w:val="555555"/>
          <w:sz w:val="17"/>
        </w:rPr>
        <w:t xml:space="preserve">Zitiervorschlag: § 1697a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https://recht.nulegal.eu/gesetze/BGB/1697a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