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1687 BGB — Ausübung der gemeinsamen Sorge bei Getrenntleben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Leben Eltern, denen die elterliche Sorge gemeinsam zusteht, nicht nur vorübergehend getrennt, so ist bei Entscheidungen in Angelegenheiten, deren Regelung für das Kind von erheblicher Bedeutung ist, ihr gegenseitiges Einvernehmen erforderlich. Der Elternteil, bei dem sich das Kind mit Einwilligung des anderen Elternteils oder auf Grund einer gerichtlichen Entscheidung gewöhnlich aufhält, hat die Befugnis zur alleinigen Entscheidung in Angelegenheiten des täglichen Lebens. Entscheidungen in Angelegenheiten des täglichen Lebens sind in der Regel solche, die häufig vorkommen und die keine schwer abzuändernden Auswirkungen auf die Entwicklung des Kindes haben. Solange sich das Kind mit Einwilligung dieses Elternteils oder auf Grund einer gerichtlichen Entscheidung bei dem anderen Elternteil aufhält, hat dieser die Befugnis zur alleinigen Entscheidung in Angelegenheiten der tatsächlichen Betreuung. § 1629 Abs. 1 Satz 4 und § 1684 Abs. 2 Satz 1 gelten entsprechend.</w:t>
      </w:r>
    </w:p>
    <w:p>
      <w:r>
        <w:t xml:space="preserve">(2) Das Familiengericht kann die Befugnisse nach Absatz 1 Satz 2 und 4 einschränken oder ausschließen, wenn dies zum Wohl des Kindes erforderlich ist.</w:t>
      </w:r>
    </w:p>
    <w:p>
      <w:r>
        <w:rPr>
          <w:color w:val="555555"/>
          <w:sz w:val="17"/>
        </w:rPr>
        <w:t xml:space="preserve">Zitiervorschlag: § 1687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