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1685 BGB — Umgang des Kindes mit anderen Bezugspersonen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Großeltern und Geschwister haben ein Recht auf Umgang mit dem Kind, wenn dieser dem Wohl des Kindes dient.</w:t>
      </w:r>
    </w:p>
    <w:p>
      <w:r>
        <w:t xml:space="preserve">(2) Gleiches gilt für enge Bezugspersonen des Kindes, wenn diese für das Kind tatsächliche Verantwortung tragen oder getragen haben (sozial-familiäre Beziehung). Eine Übernahme tatsächlicher Verantwortung ist in der Regel anzunehmen, wenn die Person mit dem Kind längere Zeit in häuslicher Gemeinschaft zusammengelebt hat.</w:t>
      </w:r>
    </w:p>
    <w:p>
      <w:r>
        <w:t xml:space="preserve">(3) § 1684 Abs. 2 bis 4 gilt entsprechend. Eine Umgangspflegschaft nach § 1684 Abs. 3 Satz 3 bis 5 kann das Familiengericht nur anordnen, wenn die Voraussetzungen des § 1666 Abs. 1 erfüllt sind.</w:t>
      </w:r>
    </w:p>
    <w:p>
      <w:r>
        <w:rPr>
          <w:color w:val="555555"/>
          <w:sz w:val="17"/>
        </w:rPr>
        <w:t xml:space="preserve">Zitiervorschlag: § 1685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