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1684 BGB — Umgang des Kindes mit den Eltern</w:t>
      </w:r>
    </w:p>
    <w:p>
      <w:r>
        <w:rPr>
          <w:color w:val="555555"/>
          <w:sz w:val="18"/>
        </w:rPr>
        <w:t xml:space="preserve">Bürgerliches Gesetzbuch</w:t>
      </w:r>
    </w:p>
    <w:p>
      <w:r>
        <w:rPr>
          <w:color w:val="555555"/>
          <w:sz w:val="18"/>
        </w:rPr>
        <w:t xml:space="preserve">Stand: 01.01.2026 (konsolidierte Textfassung, kein amtliches Inkrafttretensdatum)</w:t>
      </w:r>
    </w:p>
    <w:p>
      <w:r>
        <w:t xml:space="preserve">(1) Das Kind hat das Recht auf Umgang mit jedem Elternteil; jeder Elternteil ist zum Umgang mit dem Kind verpflichtet und berechtigt.</w:t>
      </w:r>
    </w:p>
    <w:p>
      <w:r>
        <w:t xml:space="preserve">(2) Die Eltern haben alles zu unterlassen, was das Verhältnis des Kindes zum jeweils anderen Elternteil beeinträchtigt oder die Erziehung erschwert. Entsprechendes gilt, wenn sich das Kind in der Obhut einer anderen Person befindet.</w:t>
      </w:r>
    </w:p>
    <w:p>
      <w:r>
        <w:t xml:space="preserve">(3) Das Familiengericht kann über den Umfang des Umgangsrechts entscheiden und seine Ausübung, auch gegenüber Dritten, näher regeln. Es kann die Beteiligten durch Anordnungen zur Erfüllung der in Absatz 2 geregelten Pflicht anhalten. Wird die Pflicht nach Absatz 2 dauerhaft oder wiederholt erheblich verletzt, kann das Familiengericht auch eine Pflegschaft für die Durchführung des Umgangs anordnen (Umgangspflegschaft). Die Umgangspflegschaft umfasst das Recht, die Herausgabe des Kindes zur Durchführung des Umgangs zu verlangen und für die Dauer des Umgangs dessen Aufenthalt zu bestimmen. Die Anordnung ist zu befristen. Für den Ersatz von Aufwendungen und die Vergütung des Umgangspflegers gilt § 277 des Gesetzes über das Verfahren in Familiensachen und in den Angelegenheiten der freiwilligen Gerichtsbarkeit, auch in Verbindung mit § 17 des Vormünder- und Betreuervergütungsgesetzes, entsprechend.</w:t>
      </w:r>
    </w:p>
    <w:p>
      <w:r>
        <w:t xml:space="preserve">(4) Das Familiengericht kann das Umgangsrecht oder den Vollzug früherer Entscheidungen über das Umgangsrecht einschränken oder ausschließen, soweit dies zum Wohl des Kindes erforderlich ist. Eine Entscheidung, die das Umgangsrecht oder seinen Vollzug für längere Zeit oder auf Dauer einschränkt oder ausschließt, kann nur ergehen, wenn andernfalls das Wohl des Kindes gefährdet wäre. Das Familiengericht kann insbesondere anordnen, dass der Umgang nur stattfinden darf, wenn ein mitwirkungsbereiter Dritter anwesend ist. Dritter kann auch ein Träger der Jugendhilfe oder ein Verein sein; dieser bestimmt dann jeweils, welche Einzelperson die Aufgabe wahrnimmt.</w:t>
      </w:r>
    </w:p>
    <w:p>
      <w:r>
        <w:rPr>
          <w:color w:val="555555"/>
          <w:sz w:val="17"/>
        </w:rPr>
        <w:t xml:space="preserve">Zitiervorschlag: § 1684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