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1674 BGB — Ruhen der elterlichen Sorge bei tatsächlichem Hindernis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elterliche Sorge eines Elternteils ruht, wenn das Familiengericht feststellt, dass er auf längere Zeit die elterliche Sorge tatsächlich nicht ausüben kann.</w:t>
      </w:r>
    </w:p>
    <w:p>
      <w:r>
        <w:t xml:space="preserve">(2) Die elterliche Sorge lebt wieder auf, wenn das Familiengericht feststellt, dass der Grund des Ruhens nicht mehr besteht.</w:t>
      </w:r>
    </w:p>
    <w:p>
      <w:r>
        <w:rPr>
          <w:color w:val="555555"/>
          <w:sz w:val="17"/>
        </w:rPr>
        <w:t xml:space="preserve">Zitiervorschlag: § 1674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1674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