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1673 BGB — Ruhen der elterlichen Sorge bei rechtlichem Hindernis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elterliche Sorge eines Elternteils ruht, wenn er geschäftsunfähig ist.</w:t>
      </w:r>
    </w:p>
    <w:p>
      <w:r>
        <w:t xml:space="preserve">(2) Das Gleiche gilt, wenn er in der Geschäftsfähigkeit beschränkt ist. Die Personensorge für das Kind steht ihm neben dem gesetzlichen Vertreter des Kindes zu; zur Vertretung des Kindes ist er nicht berechtigt. Bei einer Meinungsverschiedenheit geht die Meinung des minderjährigen Elternteils vor, wenn der gesetzliche Vertreter des Kindes ein Vormund oder Pfleger ist; andernfalls gelten § 1627 Satz 2 und § 1628.</w:t>
      </w:r>
    </w:p>
    <w:p>
      <w:r>
        <w:rPr>
          <w:color w:val="555555"/>
          <w:sz w:val="17"/>
        </w:rPr>
        <w:t xml:space="preserve">Zitiervorschlag: § 1673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