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1646 BGB — Erwerb mit Mitteln des Kindes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Erwerben die Eltern mit Mitteln des Kindes bewegliche Sachen, so geht mit dem Erwerb das Eigentum auf das Kind über, es sei denn, dass die Eltern nicht für Rechnung des Kindes erwerben wollen. Dies gilt insbesondere auch von Inhaberpapieren und von Orderpapieren, die mit Blankoindossament versehen sind.</w:t>
      </w:r>
    </w:p>
    <w:p>
      <w:r>
        <w:t xml:space="preserve">(2) Die Vorschriften des Absatzes 1 sind entsprechend anzuwenden, wenn die Eltern mit Mitteln des Kindes ein Recht an Sachen der bezeichneten Art oder ein anderes Recht erwerben, zu dessen Übertragung der Abtretungsvertrag genügt.</w:t>
      </w:r>
    </w:p>
    <w:p>
      <w:r>
        <w:rPr>
          <w:color w:val="555555"/>
          <w:sz w:val="17"/>
        </w:rPr>
        <w:t xml:space="preserve">Zitiervorschlag: § 1646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https://recht.nulegal.eu/gesetze/BGB/1646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