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1645 BGB — Anzeigepflicht für Erwerbsgeschäfte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Eltern haben Beginn, Art und Umfang eines neuen Erwerbsgeschäfts im Namen des Kindes beim Familiengericht anzuzeigen.</w:t>
      </w:r>
    </w:p>
    <w:p>
      <w:r>
        <w:rPr>
          <w:color w:val="555555"/>
          <w:sz w:val="17"/>
        </w:rPr>
        <w:t xml:space="preserve">Zitiervorschlag: § 1645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