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1640 BGB — Vermögensverzeichnis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Eltern haben das ihrer Verwaltung unterliegende Vermögen, welches das Kind von Todes wegen erwirbt, zu verzeichnen, das Verzeichnis mit der Versicherung der Richtigkeit und Vollständigkeit zu versehen und dem Familiengericht einzureichen. Gleiches gilt für Vermögen, welches das Kind sonst anlässlich eines Sterbefalls erwirbt, sowie für Abfindungen, die anstelle von Unterhalt gewährt werden, und unentgeltliche Zuwendungen. Bei Haushaltsgegenständen genügt die Angabe des Gesamtwerts.</w:t>
      </w:r>
    </w:p>
    <w:p>
      <w:r>
        <w:t xml:space="preserve">(2) Absatz 1 gilt nicht,</w:t>
      </w:r>
    </w:p>
    <w:p>
      <w:pPr>
        <w:ind w:left="420"/>
      </w:pPr>
      <w:r>
        <w:t xml:space="preserve">1. wenn der Wert eines Vermögenserwerbs 15.000 Euro nicht übersteigt oder</w:t>
      </w:r>
    </w:p>
    <w:p>
      <w:pPr>
        <w:ind w:left="420"/>
      </w:pPr>
      <w:r>
        <w:t xml:space="preserve">2. soweit der Erblasser durch letztwillige Verfügung oder der Zuwendende bei der Zuwendung eine abweichende Anordnung getroffen hat.</w:t>
      </w:r>
    </w:p>
    <w:p>
      <w:r>
        <w:t xml:space="preserve">(3) Reichen die Eltern entgegen Absatz 1, 2 ein Verzeichnis nicht ein oder ist das eingereichte Verzeichnis ungenügend, so kann das Familiengericht anordnen, dass das Verzeichnis durch eine zuständige Behörde oder einen zuständigen Beamten oder Notar aufgenommen wird.</w:t>
      </w:r>
    </w:p>
    <w:p>
      <w:r>
        <w:rPr>
          <w:color w:val="555555"/>
          <w:sz w:val="17"/>
        </w:rPr>
        <w:t xml:space="preserve">Zitiervorschlag: § 1640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1640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