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1631d BGB — Beschneidung des männlichen Kindes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Die Personensorge umfasst auch das Recht, in eine medizinisch nicht erforderliche Beschneidung des nicht einsichts- und urteilsfähigen männlichen Kindes einzuwilligen, wenn diese nach den Regeln der ärztlichen Kunst durchgeführt werden soll. Dies gilt nicht, wenn durch die Beschneidung auch unter Berücksichtigung ihres Zwecks das Kindeswohl gefährdet wird.</w:t>
      </w:r>
    </w:p>
    <w:p>
      <w:r>
        <w:t xml:space="preserve">(2) In den ersten sechs Monaten nach der Geburt des Kindes dürfen auch von einer Religionsgesellschaft dazu vorgesehene Personen Beschneidungen gemäß Absatz 1 durchführen, wenn sie dafür besonders ausgebildet und, ohne Arzt zu sein, für die Durchführung der Beschneidung vergleichbar befähigt sind.</w:t>
      </w:r>
    </w:p>
    <w:p>
      <w:r>
        <w:rPr>
          <w:color w:val="555555"/>
          <w:sz w:val="17"/>
        </w:rPr>
        <w:t xml:space="preserve">Zitiervorschlag: § 1631d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https://recht.nulegal.eu/gesetze/BGB/1631d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