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1626c BGB — Persönliche Abgabe; beschränkt geschäftsfähiger Elternteil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Eltern können die Sorgeerklärungen nur selbst abgeben.</w:t>
      </w:r>
    </w:p>
    <w:p>
      <w:r>
        <w:t xml:space="preserve">(2) Die Sorgeerklärung eines beschränkt geschäftsfähigen Elternteils bedarf der Zustimmung seines gesetzlichen Vertreters. Die Zustimmung kann nur von diesem selbst abgegeben werden; § 1626b Abs. 1 und 2 gilt entsprechend. Das Familiengericht hat die Zustimmung auf Antrag des beschränkt geschäftsfähigen Elternteils zu ersetzen, wenn die Sorgeerklärung dem Wohl dieses Elternteils nicht widerspricht.</w:t>
      </w:r>
    </w:p>
    <w:p>
      <w:r>
        <w:rPr>
          <w:color w:val="555555"/>
          <w:sz w:val="17"/>
        </w:rPr>
        <w:t xml:space="preserve">Zitiervorschlag: § 1626c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https://recht.nulegal.eu/gesetze/BGB/1626c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