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162 BGB — Verhinderung oder Herbeiführung des Bedingungseintritts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der Eintritt der Bedingung von der Partei, zu deren Nachteil er gereichen würde, wider Treu und Glauben verhindert, so gilt die Bedingung als eingetreten.</w:t>
      </w:r>
    </w:p>
    <w:p>
      <w:r>
        <w:t xml:space="preserve">(2) Wird der Eintritt der Bedingung von der Partei, zu deren Vorteil er gereicht, wider Treu und Glauben herbeigeführt, so gilt der Eintritt als nicht erfolgt.</w:t>
      </w:r>
    </w:p>
    <w:p>
      <w:r>
        <w:rPr>
          <w:color w:val="555555"/>
          <w:sz w:val="17"/>
        </w:rPr>
        <w:t xml:space="preserve">Zitiervorschlag: § 162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https://recht.nulegal.eu/gesetze/BGB/162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162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