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1617i BGB — Neubestimmung des Familiennamens durch volljährige Personen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01.05.2025 (konsolidierte Textfassung, kein amtliches Inkrafttretensdatum)</w:t>
      </w:r>
    </w:p>
    <w:p>
      <w:r>
        <w:t xml:space="preserve">(1) Jede volljährige Person kann den Geburtsnamen, den sie als Minderjährige erworben hat, einmalig wie folgt neu bestimmen:</w:t>
      </w:r>
    </w:p>
    <w:p>
      <w:pPr>
        <w:ind w:left="420"/>
      </w:pPr>
      <w:r>
        <w:t xml:space="preserve">1. wenn ihr Geburtsname aus mehreren Namen besteht: indem sie nur einen oder einige der Namen, aus denen der Name besteht, zu ihrem Geburtsnamen bestimmt,</w:t>
      </w:r>
    </w:p>
    <w:p>
      <w:pPr>
        <w:ind w:left="420"/>
      </w:pPr>
      <w:r>
        <w:t xml:space="preserve">2. wenn sie den Familiennamen nur eines Elternteils als Geburtsnamen erhalten hat: indem sie</w:t>
      </w:r>
    </w:p>
    <w:p>
      <w:pPr>
        <w:ind w:left="780"/>
      </w:pPr>
      <w:r>
        <w:t xml:space="preserve">a) diesen durch den Familiennamen des anderen Elternteils ersetzt oder</w:t>
      </w:r>
    </w:p>
    <w:p>
      <w:pPr>
        <w:ind w:left="780"/>
      </w:pPr>
      <w:r>
        <w:t xml:space="preserve">b) diesem den Familiennamen des anderen Elternteils voranstellt oder anfügt.</w:t>
      </w:r>
    </w:p>
    <w:p>
      <w:r>
        <w:t xml:space="preserve">In den Fällen des Satzes 1 Nummer 2 Buchstabe a gilt § 1617 Absatz 2 Nummer 1 entsprechend, in den Fällen des Satzes 1 Nummer 2 Buchstabe b gilt § 1617 Absatz 1 Satz 2 und Absatz 2 Nummer 2 entsprechend. Die Neubestimmung bedarf der Einwilligung desjenigen Elternteils, dessen Name zum neuen Geburtsnamen bestimmt oder dem bisherigen Geburtsnamen vorangestellt oder angefügt wird, es sei denn, der Elternteil ist bereits verstorben.</w:t>
      </w:r>
    </w:p>
    <w:p>
      <w:r>
        <w:t xml:space="preserve">(2) Gehört eine volljährige Person der friesischen Volksgruppe oder der dänischen Minderheit an und hat sie einen Geburtsnamen nach § 1617g oder § 1617h erhalten, so gilt für die Neubestimmung des Geburtsnamens Absatz 1 sinngemäß. Hat eine volljährige Person, die der friesischen Volksgruppe oder der dänischen Minderheit angehört, keinen Geburtsnamen nach § 1617g oder § 1617h erhalten, so kann sie ihren Geburtsnamen entsprechend diesen Vorschriften einmalig neu bestimmen.</w:t>
      </w:r>
    </w:p>
    <w:p>
      <w:r>
        <w:t xml:space="preserve">(3) Hinsichtlich der nach den Absätzen 1 und 2 wählbaren Namen ist auf den Zeitpunkt der Geburt oder der Annahme als Kind abzustellen; § 1617c Absatz 2 Nummer 2 und Absatz 3 gilt entsprechend.</w:t>
      </w:r>
    </w:p>
    <w:p>
      <w:r>
        <w:t xml:space="preserve">(4) Führt eine volljährige Person einen Doppelnamen, so kann sie außer in den Fällen des Absatzes 2 bestimmen, dass</w:t>
      </w:r>
    </w:p>
    <w:p>
      <w:pPr>
        <w:ind w:left="420"/>
      </w:pPr>
      <w:r>
        <w:t xml:space="preserve">1. ein vorhandener Bindestrich wegfällt oder</w:t>
      </w:r>
    </w:p>
    <w:p>
      <w:pPr>
        <w:ind w:left="420"/>
      </w:pPr>
      <w:r>
        <w:t xml:space="preserve">2. ein Bindestrich hinzugefügt wird, wenn der Doppelname ohne einen Bindestrich gebildet wurde.</w:t>
      </w:r>
    </w:p>
    <w:p>
      <w:r>
        <w:t xml:space="preserve">Ehegatten, die einen Ehenamen führen, können diese Erklärung nur gemeinsam abgeben.</w:t>
      </w:r>
    </w:p>
    <w:p>
      <w:r>
        <w:t xml:space="preserve">(5) Die Erklärungen nach den Absätzen 1, 2 und 4 sind gegenüber dem Standesamt abzugeben und öffentlich zu beglaubigen.</w:t>
      </w:r>
    </w:p>
    <w:p>
      <w:r>
        <w:rPr>
          <w:color w:val="555555"/>
          <w:sz w:val="17"/>
        </w:rPr>
        <w:t xml:space="preserve">Zitiervorschlag: § 1617i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https://recht.nulegal.eu/gesetze/BGB/1617i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