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1617e BGB — Einbenennung, Rückbenennung</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Der Elternteil, dem die elterliche Sorge für ein Kind allein oder gemeinsam mit dem anderen Elternteil zusteht, und sein Ehegatte, der nicht Elternteil des Kindes ist, können dem Kind, das sie in ihren gemeinsamen Haushalt aufgenommen haben, durch Erklärung gegenüber dem Standesamt einen der folgenden Namen als Geburtsnamen erteilen (Einbenennung):</w:t>
      </w:r>
    </w:p>
    <w:p>
      <w:pPr>
        <w:ind w:left="420"/>
      </w:pPr>
      <w:r>
        <w:t xml:space="preserve">1. ihren Ehenamen oder</w:t>
      </w:r>
    </w:p>
    <w:p>
      <w:pPr>
        <w:ind w:left="420"/>
      </w:pPr>
      <w:r>
        <w:t xml:space="preserve">2. einen aus ihrem Ehenamen und dem von dem Kind zur Zeit der Erklärung geführten Geburtsnamen gebildeten Doppelnamen.</w:t>
      </w:r>
    </w:p>
    <w:p>
      <w:r>
        <w:t xml:space="preserve">Im Fall des Satzes 1 Nummer 2 gilt § 1617 Absatz 1 Satz 2 und Absatz 2 Nummer 2 entsprechend.</w:t>
      </w:r>
    </w:p>
    <w:p>
      <w:r>
        <w:t xml:space="preserve">(2) Die Einbenennung bedarf der Einwilligung des anderen Elternteils, wenn das Kind dessen Namen führt oder diesem Elternteil die elterliche Sorge gemeinsam mit dem einbenennenden Elternteil zusteht. Das Familiengericht kann die Einwilligung des anderen Elternteils ersetzen, wenn die Einbenennung dem Wohl des Kindes dient. Wenn das Kind das fünfte Lebensjahr vollendet hat, bedarf die Einbenennung auch seiner Einwilligung.</w:t>
      </w:r>
    </w:p>
    <w:p>
      <w:r>
        <w:t xml:space="preserve">(3) Ein volljähriges Kind kann sich entsprechend Absatz 1, auch wenn es nicht im gemeinsamen Haushalt eines Elternteils und des Ehegatten dieses Elternteils lebt, mit deren Einwilligung durch Erklärung gegenüber dem Standesamt selbst einbenennen.</w:t>
      </w:r>
    </w:p>
    <w:p>
      <w:r>
        <w:t xml:space="preserve">(4) Wird die Ehe zwischen dem Elternteil und seinem Ehegatten, der nicht Elternteil des Kindes ist, aufgelöst oder scheidet das Kind aus dem gemeinsamen Haushalt aus, so können die Einbenennung durch Erklärung gegenüber dem Standesamt rückgängig machen (Rückbenennung):</w:t>
      </w:r>
    </w:p>
    <w:p>
      <w:pPr>
        <w:ind w:left="420"/>
      </w:pPr>
      <w:r>
        <w:t xml:space="preserve">1. jeder Elternteil, dem die elterliche Sorge für das Kind allein oder gemeinsam mit dem anderen Elternteil zusteht, sowie</w:t>
      </w:r>
    </w:p>
    <w:p>
      <w:pPr>
        <w:ind w:left="420"/>
      </w:pPr>
      <w:r>
        <w:t xml:space="preserve">2. das Kind selbst, sobald es volljährig ist.</w:t>
      </w:r>
    </w:p>
    <w:p>
      <w:r>
        <w:t xml:space="preserve">In den Fällen des Satzes 1 Nummer 1 gilt Absatz 2 entsprechend.</w:t>
      </w:r>
    </w:p>
    <w:p>
      <w:r>
        <w:t xml:space="preserve">(5) Die Erklärungen müssen öffentlich beglaubigt werden. § 1617c Absatz 1 Satz 2 und Absatz 3 gilt entsprechend.</w:t>
      </w:r>
    </w:p>
    <w:p>
      <w:r>
        <w:rPr>
          <w:color w:val="555555"/>
          <w:sz w:val="17"/>
        </w:rPr>
        <w:t xml:space="preserve">Zitiervorschlag: § 1617e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https://recht.nulegal.eu/gesetze/BGB/1617e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1617e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