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1612b BGB — Deckung des Barbedarfs durch Kindergeld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auf das Kind entfallende Kindergeld ist zur Deckung seines Barbedarfs zu verwenden:</w:t>
      </w:r>
    </w:p>
    <w:p>
      <w:pPr>
        <w:ind w:left="420"/>
      </w:pPr>
      <w:r>
        <w:t xml:space="preserve">1. zur Hälfte, wenn ein Elternteil seine Unterhaltspflicht durch Betreuung des Kindes erfüllt (§ 1606 Abs. 3 Satz 2);</w:t>
      </w:r>
    </w:p>
    <w:p>
      <w:pPr>
        <w:ind w:left="420"/>
      </w:pPr>
      <w:r>
        <w:t xml:space="preserve">2. in allen anderen Fällen in voller Höhe.</w:t>
      </w:r>
    </w:p>
    <w:p>
      <w:r>
        <w:t xml:space="preserve">In diesem Umfang mindert es den Barbedarf des Kindes.</w:t>
      </w:r>
    </w:p>
    <w:p>
      <w:r>
        <w:t xml:space="preserve">(2) Ist das Kindergeld wegen der Berücksichtigung eines nicht gemeinschaftlichen Kindes erhöht, ist es im Umfang der Erhöhung nicht bedarfsmindernd zu berücksichtigen.</w:t>
      </w:r>
    </w:p>
    <w:p>
      <w:r>
        <w:rPr>
          <w:color w:val="555555"/>
          <w:sz w:val="17"/>
        </w:rPr>
        <w:t xml:space="preserve">Zitiervorschlag: § 1612b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https://recht.nulegal.eu/gesetze/BGB/1612b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