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1599 BGB — Anfechtbarkeit der Vaterschaft; Unanfechtbarkeit der Mutterschaft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Stellt das Familiengericht auf Grund einer Anfechtung rechtskräftig fest, dass der dem Kind nach § 1592 Nummer 1 oder 2 oder nach § 1593 als Vater zugeordnete Mann nicht der leibliche Vater des Kindes ist, entfällt die Vaterschaft rückwirkend ab Geburt des Kindes.</w:t>
      </w:r>
    </w:p>
    <w:p>
      <w:r>
        <w:t xml:space="preserve">(2) Die Mutterschaft ist unanfechtbar.</w:t>
      </w:r>
    </w:p>
    <w:p>
      <w:r>
        <w:rPr>
          <w:color w:val="555555"/>
          <w:sz w:val="17"/>
        </w:rPr>
        <w:t xml:space="preserve">Zitiervorschlag: § 1599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