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1595 BGB — Zustimmungsbedürftigkeit der Anerkennung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Die Anerkennung bedarf der Zustimmung der Mutter. Satz 1 gilt nicht, wenn die Mutter verstorben ist.</w:t>
      </w:r>
    </w:p>
    <w:p>
      <w:r>
        <w:t xml:space="preserve">(2) Die Anerkennung bedarf auch der Zustimmung des Kindes.</w:t>
      </w:r>
    </w:p>
    <w:p>
      <w:r>
        <w:t xml:space="preserve">(3) Für die Zustimmungen nach den Absätzen 1 und 2 gilt § 1594 Absatz 3 und 4 entsprechend.</w:t>
      </w:r>
    </w:p>
    <w:p>
      <w:r>
        <w:rPr>
          <w:color w:val="555555"/>
          <w:sz w:val="17"/>
        </w:rPr>
        <w:t xml:space="preserve">Zitiervorschlag: § 1595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https://recht.nulegal.eu/gesetze/BGB/1595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