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1586b BGB — Kein Erlöschen bei Tod des Verpflichteten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dem Tode des Verpflichteten geht die Unterhaltspflicht auf den Erben als Nachlassverbindlichkeit über. Die Beschränkungen nach § 1581 fallen weg. Der Erbe haftet jedoch nicht über einen Betrag hinaus, der dem Pflichtteil entspricht, welcher dem Berechtigten zustände, wenn die Ehe nicht geschieden worden wäre.</w:t>
      </w:r>
    </w:p>
    <w:p>
      <w:r>
        <w:t xml:space="preserve">(2) Für die Berechnung des Pflichtteils bleiben Besonderheiten auf Grund des Güterstands, in dem die geschiedenen Ehegatten gelebt haben, außer Betracht.</w:t>
      </w:r>
    </w:p>
    <w:p>
      <w:r>
        <w:rPr>
          <w:color w:val="555555"/>
          <w:sz w:val="17"/>
        </w:rPr>
        <w:t xml:space="preserve">Zitiervorschlag: § 1586b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https://recht.nulegal.eu/gesetze/BGB/1586b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