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1586 BGB — Wiederverheiratung, Begründung einer Lebenspartnerschaft oder Tod des Berechtigten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Unterhaltsanspruch erlischt mit der Wiederheirat, der Begründung einer Lebenspartnerschaft oder dem Tode des Berechtigten.</w:t>
      </w:r>
    </w:p>
    <w:p>
      <w:r>
        <w:t xml:space="preserve">(2) Ansprüche auf Erfüllung oder Schadensersatz wegen Nichterfüllung für die Vergangenheit bleiben bestehen. Das Gleiche gilt für den Anspruch auf den zur Zeit der Wiederheirat, der Begründung einer Lebenspartnerschaft oder des Todes fälligen Monatsbetrag.</w:t>
      </w:r>
    </w:p>
    <w:p>
      <w:r>
        <w:rPr>
          <w:color w:val="555555"/>
          <w:sz w:val="17"/>
        </w:rPr>
        <w:t xml:space="preserve">Zitiervorschlag: § 1586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