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1571 BGB — Unterhalt wegen Alters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geschiedener Ehegatte kann von dem anderen Unterhalt verlangen, soweit von ihm im Zeitpunkt</w:t>
      </w:r>
    </w:p>
    <w:p>
      <w:pPr>
        <w:ind w:left="420"/>
      </w:pPr>
      <w:r>
        <w:t xml:space="preserve">1. der Scheidung,</w:t>
      </w:r>
    </w:p>
    <w:p>
      <w:pPr>
        <w:ind w:left="420"/>
      </w:pPr>
      <w:r>
        <w:t xml:space="preserve">2. der Beendigung der Pflege oder Erziehung eines gemeinschaftlichen Kindes oder</w:t>
      </w:r>
    </w:p>
    <w:p>
      <w:pPr>
        <w:ind w:left="420"/>
      </w:pPr>
      <w:r>
        <w:t xml:space="preserve">3. des Wegfalls der Voraussetzungen für einen Unterhaltsanspruch nach den §§ 1572 und 1573</w:t>
      </w:r>
    </w:p>
    <w:p>
      <w:r>
        <w:t xml:space="preserve">wegen seines Alters eine Erwerbstätigkeit nicht mehr erwartet werden kann.</w:t>
      </w:r>
    </w:p>
    <w:p>
      <w:r>
        <w:rPr>
          <w:color w:val="555555"/>
          <w:sz w:val="17"/>
        </w:rPr>
        <w:t xml:space="preserve">Zitiervorschlag: § 1571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https://recht.nulegal.eu/gesetze/BGB/1571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