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1518 BGB — Zwingendes Recht</w:t>
      </w:r>
    </w:p>
    <w:p>
      <w:r>
        <w:rPr>
          <w:color w:val="555555"/>
          <w:sz w:val="18"/>
        </w:rPr>
        <w:t xml:space="preserve">Bürgerliches Gesetzbuch</w:t>
      </w:r>
    </w:p>
    <w:p>
      <w:r>
        <w:rPr>
          <w:color w:val="555555"/>
          <w:sz w:val="18"/>
        </w:rPr>
        <w:t xml:space="preserve">Stand: 10.06.2019 (konsolidierte Textfassung, kein amtliches Inkrafttretensdatum)</w:t>
      </w:r>
    </w:p>
    <w:p>
      <w:r>
        <w:t xml:space="preserve">Anordnungen, die mit den Vorschriften der §§ 1483 bis 1517 in Widerspruch stehen, können von den Ehegatten weder durch letztwillige Verfügung noch durch Vertrag getroffen werden. Das Recht der Ehegatten, den Vertrag, durch den sie die Fortsetzung der Gütergemeinschaft vereinbart haben, durch Ehevertrag aufzuheben, bleibt unberührt.</w:t>
      </w:r>
    </w:p>
    <w:p>
      <w:r>
        <w:rPr>
          <w:color w:val="555555"/>
          <w:sz w:val="17"/>
        </w:rPr>
        <w:t xml:space="preserve">Zitiervorschlag: § 1518 BGB</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https://recht.nulegal.eu/gesetze/BGB/1518</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