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1515 BGB — Übernahmerecht eines Abkömmlings und des Ehegatten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Jeder Ehegatte kann für den Fall, dass mit seinem Tode die fortgesetzte Gütergemeinschaft eintritt, durch letztwillige Verfügung anordnen, dass ein anteilsberechtigter Abkömmling das Recht haben soll, bei der Teilung das Gesamtgut oder einzelne dazu gehörende Gegenstände gegen Ersatz des Wertes zu übernehmen.</w:t>
      </w:r>
    </w:p>
    <w:p>
      <w:r>
        <w:t xml:space="preserve">(2) Gehört zu dem Gesamtgut ein Landgut, so kann angeordnet werden, dass das Landgut mit dem Ertragswert oder mit einem Preis, der den Ertragswert mindestens erreicht, angesetzt werden soll. Die für die Erbfolge geltende Vorschrift des § 2049 findet Anwendung.</w:t>
      </w:r>
    </w:p>
    <w:p>
      <w:r>
        <w:t xml:space="preserve">(3) Das Recht, das Landgut zu dem in Absatz 2 bezeichneten Werte oder Preis zu übernehmen, kann auch dem überlebenden Ehegatten eingeräumt werden.</w:t>
      </w:r>
    </w:p>
    <w:p>
      <w:r>
        <w:rPr>
          <w:color w:val="555555"/>
          <w:sz w:val="17"/>
        </w:rPr>
        <w:t xml:space="preserve">Zitiervorschlag: § 1515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