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1501 BGB — Anrechnung von Abfindungen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einem anteilsberechtigten Abkömmling für den Verzicht auf seinen Anteil eine Abfindung aus dem Gesamtgut gewährt worden, so wird sie bei der Auseinandersetzung in das Gesamtgut eingerechnet und auf die den Abkömmlingen gebührende Hälfte angerechnet.</w:t>
      </w:r>
    </w:p>
    <w:p>
      <w:r>
        <w:t xml:space="preserve">(2) Der überlebende Ehegatte kann mit den übrigen anteilsberechtigten Abkömmlingen schon vor der Aufhebung der fortgesetzten Gütergemeinschaft eine abweichende Vereinbarung treffen. Die Vereinbarung bedarf der notariellen Beurkundung; sie ist auch denjenigen Abkömmlingen gegenüber wirksam, welche erst später in die fortgesetzte Gütergemeinschaft eintreten.</w:t>
      </w:r>
    </w:p>
    <w:p>
      <w:r>
        <w:rPr>
          <w:color w:val="555555"/>
          <w:sz w:val="17"/>
        </w:rPr>
        <w:t xml:space="preserve">Zitiervorschlag: § 1501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