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 BGB — Verspätete und abändernde Annahme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verspätete Annahme eines Antrags gilt als neuer Antrag.</w:t>
      </w:r>
    </w:p>
    <w:p>
      <w:r>
        <w:t xml:space="preserve">(2) Eine Annahme unter Erweiterungen, Einschränkungen oder sonstigen Änderungen gilt als Ablehnung verbunden mit einem neuen Antrag.</w:t>
      </w:r>
    </w:p>
    <w:p>
      <w:r>
        <w:rPr>
          <w:color w:val="555555"/>
          <w:sz w:val="17"/>
        </w:rPr>
        <w:t xml:space="preserve">Zitiervorschlag: § 150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