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1492 BGB — Aufhebung durch den überlebenden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überlebende Ehegatte kann die fortgesetzte Gütergemeinschaft jederzeit aufheben. Die Aufhebung erfolgt durch Erklärung gegenüber dem für den Nachlass des verstorbenen Ehegatten zuständigen Gericht; die Erklärung ist in öffentlich beglaubigter Form abzugeben. Das Nachlassgericht soll die Erklärung den anteilsberechtigten Abkömmlingen und, wenn der überlebende Ehegatte gesetzlicher Vertreter eines der Abkömmlinge ist, dem Familiengericht, wenn eine Betreuung besteht, dem Betreuungsgericht mitteilen.</w:t>
      </w:r>
    </w:p>
    <w:p>
      <w:r>
        <w:t xml:space="preserve">(2) Die Aufhebung kann auch durch Vertrag zwischen dem überlebenden Ehegatten und den anteilsberechtigten Abkömmlingen erfolgen. Der Vertrag bedarf der notariellen Beurkundung.</w:t>
      </w:r>
    </w:p>
    <w:p>
      <w:r>
        <w:t xml:space="preserve">(3) Bei einer Aufhebung durch den Betreuer des überlebenden Ehegatten ist die Genehmigung des Betreuungsgerichts erforderlich.</w:t>
      </w:r>
    </w:p>
    <w:p>
      <w:r>
        <w:rPr>
          <w:color w:val="555555"/>
          <w:sz w:val="17"/>
        </w:rPr>
        <w:t xml:space="preserve">Zitiervorschlag: § 1492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