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1489 BGB — Persönliche Haftung für die Gesamtgutsverbindlichkeiten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Gesamtgutsverbindlichkeiten der fortgesetzten Gütergemeinschaft haftet der überlebende Ehegatte persönlich.</w:t>
      </w:r>
    </w:p>
    <w:p>
      <w:r>
        <w:t xml:space="preserve">(2) Soweit die persönliche Haftung den überlebenden Ehegatten nur infolge des Eintritts der fortgesetzten Gütergemeinschaft trifft, finden die für die Haftung des Erben für die Nachlassverbindlichkeiten geltenden Vorschriften entsprechende Anwendung; an die Stelle des Nachlasses tritt das Gesamtgut in dem Bestand, den es zur Zeit des Eintritts der fortgesetzten Gütergemeinschaft hat.</w:t>
      </w:r>
    </w:p>
    <w:p>
      <w:r>
        <w:t xml:space="preserve">(3) Eine persönliche Haftung der anteilsberechtigten Abkömmlinge für die Verbindlichkeiten des verstorbenen oder des überlebenden Ehegatten wird durch die fortgesetzte Gütergemeinschaft nicht begründet.</w:t>
      </w:r>
    </w:p>
    <w:p>
      <w:r>
        <w:rPr>
          <w:color w:val="555555"/>
          <w:sz w:val="17"/>
        </w:rPr>
        <w:t xml:space="preserve">Zitiervorschlag: § 1489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