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1487 BGB — Rechtsstellung des Ehegatten und der Abkömmlinge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Rechte und Verbindlichkeiten des überlebenden Ehegatten sowie der anteilsberechtigten Abkömmlinge in Ansehung des Gesamtguts der fortgesetzten Gütergemeinschaft bestimmen sich nach den für die eheliche Gütergemeinschaft geltenden Vorschriften der §§ 1419, 1422 bis 1428, 1434, des § 1435 Satz 1, 3 und der §§ 1436, 1445; der überlebende Ehegatte hat die rechtliche Stellung des Ehegatten, der das Gesamtgut allein verwaltet, die anteilsberechtigten Abkömmlinge haben die rechtliche Stellung des anderen Ehegatten.</w:t>
      </w:r>
    </w:p>
    <w:p>
      <w:r>
        <w:t xml:space="preserve">(2) Was der überlebende Ehegatte zu dem Gesamtgut schuldet oder aus dem Gesamtgut zu fordern hat, ist erst nach der Beendigung der fortgesetzten Gütergemeinschaft zu leisten.</w:t>
      </w:r>
    </w:p>
    <w:p>
      <w:r>
        <w:rPr>
          <w:color w:val="555555"/>
          <w:sz w:val="17"/>
        </w:rPr>
        <w:t xml:space="preserve">Zitiervorschlag: § 1487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