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1470 BGB — Wirkung der richterlichen Aufhebungsentscheidung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der Rechtskraft der richterlichen Entscheidung ist die Gütergemeinschaft aufgehoben; für die Zukunft gilt Gütertrennung.</w:t>
      </w:r>
    </w:p>
    <w:p>
      <w:r>
        <w:t xml:space="preserve">(2) Dritten gegenüber ist die Aufhebung der Gütergemeinschaft nur nach Maßgabe des § 1412 wirksam.</w:t>
      </w:r>
    </w:p>
    <w:p>
      <w:r>
        <w:rPr>
          <w:color w:val="555555"/>
          <w:sz w:val="17"/>
        </w:rPr>
        <w:t xml:space="preserve">Zitiervorschlag: § 1470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https://recht.nulegal.eu/gesetze/BGB/1470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