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1467 BGB — Ausgleichung zwischen Vorbehalts-, Sonder- und Gesamtgut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Verwendet ein Ehegatte Gesamtgut in sein Vorbehaltsgut oder in sein Sondergut, so hat er den Wert des Verwendeten zum Gesamtgut zu ersetzen.</w:t>
      </w:r>
    </w:p>
    <w:p>
      <w:r>
        <w:t xml:space="preserve">(2) Verwendet ein Ehegatte Vorbehaltsgut oder Sondergut in das Gesamtgut, so kann er Ersatz aus dem Gesamtgut verlangen.</w:t>
      </w:r>
    </w:p>
    <w:p>
      <w:r>
        <w:rPr>
          <w:color w:val="555555"/>
          <w:sz w:val="17"/>
        </w:rPr>
        <w:t xml:space="preserve">Zitiervorschlag: § 1467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