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1466 BGB — Kosten der Ausstattung eines nicht gemeinschaftlichen Kindes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Verhältnis der Ehegatten zueinander fallen die Kosten der Ausstattung eines nicht gemeinschaftlichen Kindes dem Vater oder der Mutter des Kindes zur Last.</w:t>
      </w:r>
    </w:p>
    <w:p>
      <w:r>
        <w:rPr>
          <w:color w:val="555555"/>
          <w:sz w:val="17"/>
        </w:rPr>
        <w:t xml:space="preserve">Zitiervorschlag: § 1466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