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1460 BGB — Haftung des Gesamtguts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Das Gesamtgut haftet für eine Verbindlichkeit aus einem Rechtsgeschäft, das ein Ehegatte während der Gütergemeinschaft vornimmt, nur dann, wenn der andere Ehegatte dem Rechtsgeschäft zustimmt oder wenn das Rechtsgeschäft ohne seine Zustimmung für das Gesamtgut wirksam ist.</w:t>
      </w:r>
    </w:p>
    <w:p>
      <w:r>
        <w:t xml:space="preserve">(2) Für die Kosten eines Rechtsstreits haftet das Gesamtgut auch dann, wenn das Urteil dem Gesamtgut gegenüber nicht wirksam ist.</w:t>
      </w:r>
    </w:p>
    <w:p>
      <w:r>
        <w:rPr>
          <w:color w:val="555555"/>
          <w:sz w:val="17"/>
        </w:rPr>
        <w:t xml:space="preserve">Zitiervorschlag: § 1460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