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1452 BGB — Ersetzung der Zustimmung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zur ordnungsmäßigen Verwaltung des Gesamtguts die Vornahme eines Rechtsgeschäfts oder die Führung eines Rechtsstreits erforderlich, so kann das Familiengericht auf Antrag eines Ehegatten die Zustimmung des anderen Ehegatten ersetzen, wenn dieser sie ohne ausreichenden Grund verweigert.</w:t>
      </w:r>
    </w:p>
    <w:p>
      <w:r>
        <w:t xml:space="preserve">(2) Die Vorschrift des Absatzes 1 gilt auch, wenn zur ordnungsmäßigen Besorgung der persönlichen Angelegenheiten eines Ehegatten ein Rechtsgeschäft erforderlich ist, das der Ehegatte mit Wirkung für das Gesamtgut nicht ohne Zustimmung des anderen Ehegatten vornehmen kann.</w:t>
      </w:r>
    </w:p>
    <w:p>
      <w:r>
        <w:rPr>
          <w:color w:val="555555"/>
          <w:sz w:val="17"/>
        </w:rPr>
        <w:t xml:space="preserve">Zitiervorschlag: § 1452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