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1444 BGB — Kosten der Ausstattung eines Kindes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Verspricht oder gewährt der Ehegatte, der das Gesamtgut verwaltet, einem gemeinschaftlichen Kind aus dem Gesamtgut eine Ausstattung, so fällt ihm im Verhältnis der Ehegatten zueinander die Ausstattung zur Last, soweit sie das Maß übersteigt, das dem Gesamtgut entspricht.</w:t>
      </w:r>
    </w:p>
    <w:p>
      <w:r>
        <w:t xml:space="preserve">(2) Verspricht oder gewährt der Ehegatte, der das Gesamtgut verwaltet, einem nicht gemeinschaftlichen Kind eine Ausstattung aus dem Gesamtgut, so fällt sie im Verhältnis der Ehegatten zueinander dem Vater oder der Mutter zur Last; für den Ehegatten, der das Gesamtgut nicht verwaltet, gilt dies jedoch nur insoweit, als er zustimmt oder die Ausstattung nicht das Maß übersteigt, das dem Gesamtgut entspricht.</w:t>
      </w:r>
    </w:p>
    <w:p>
      <w:r>
        <w:rPr>
          <w:color w:val="555555"/>
          <w:sz w:val="17"/>
        </w:rPr>
        <w:t xml:space="preserve">Zitiervorschlag: § 1444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