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1437 BGB — Gesamtgutsverbindlichkeiten; persönliche Haftung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Aus dem Gesamtgut können die Gläubiger des Ehegatten, der das Gesamtgut verwaltet, und, soweit sich aus den §§ 1438 bis 1440 nichts anderes ergibt, auch die Gläubiger des anderen Ehegatten Befriedigung verlangen (Gesamtgutsverbindlichkeiten).</w:t>
      </w:r>
    </w:p>
    <w:p>
      <w:r>
        <w:t xml:space="preserve">(2) Der Ehegatte, der das Gesamtgut verwaltet, haftet für die Verbindlichkeiten des anderen Ehegatten, die Gesamtgutsverbindlichkeiten sind, auch persönlich als Gesamtschuldner. Die Haftung erlischt mit der Beendigung der Gütergemeinschaft, wenn die Verbindlichkeiten im Verhältnis der Ehegatten zueinander dem anderen Ehegatten zur Last fallen.</w:t>
      </w:r>
    </w:p>
    <w:p>
      <w:r>
        <w:rPr>
          <w:color w:val="555555"/>
          <w:sz w:val="17"/>
        </w:rPr>
        <w:t xml:space="preserve">Zitiervorschlag: § 1437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1437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