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BGB — Wirkung der Anfechtung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anfechtbares Rechtsgeschäft angefochten, so ist es als von Anfang an nichtig anzusehen.</w:t>
      </w:r>
    </w:p>
    <w:p>
      <w:r>
        <w:t xml:space="preserve">(2) Wer die Anfechtbarkeit kannte oder kennen musste, wird, wenn die Anfechtung erfolgt, so behandelt, wie wenn er die Nichtigkeit des Rechtsgeschäfts gekannt hätte oder hätte kennen müssen.</w:t>
      </w:r>
    </w:p>
    <w:p>
      <w:r>
        <w:rPr>
          <w:color w:val="555555"/>
          <w:sz w:val="17"/>
        </w:rPr>
        <w:t xml:space="preserve">Zitiervorschlag: § 142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