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1417 BGB — Sondergut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Vom Gesamtgut ist das Sondergut ausgeschlossen.</w:t>
      </w:r>
    </w:p>
    <w:p>
      <w:r>
        <w:t xml:space="preserve">(2) Sondergut sind die Gegenstände, die nicht durch Rechtsgeschäft übertragen werden können.</w:t>
      </w:r>
    </w:p>
    <w:p>
      <w:r>
        <w:t xml:space="preserve">(3) Jeder Ehegatte verwaltet sein Sondergut selbständig. Er verwaltet es für Rechnung des Gesamtguts.</w:t>
      </w:r>
    </w:p>
    <w:p>
      <w:r>
        <w:rPr>
          <w:color w:val="555555"/>
          <w:sz w:val="17"/>
        </w:rPr>
        <w:t xml:space="preserve">Zitiervorschlag: § 1417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