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1408 BGB — Ehevertrag, Vertragsfreiheit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Ehegatten können ihre güterrechtlichen Verhältnisse durch Vertrag (Ehevertrag) regeln, insbesondere auch nach der Eingehung der Ehe den Güterstand aufheben oder ändern.</w:t>
      </w:r>
    </w:p>
    <w:p>
      <w:r>
        <w:t xml:space="preserve">(2) Schließen die Ehegatten in einem Ehevertrag Vereinbarungen über den Versorgungsausgleich, so sind insoweit die §§ 6 und 8 des Versorgungsausgleichsgesetzes anzuwenden.</w:t>
      </w:r>
    </w:p>
    <w:p>
      <w:r>
        <w:rPr>
          <w:color w:val="555555"/>
          <w:sz w:val="17"/>
        </w:rPr>
        <w:t xml:space="preserve">Zitiervorschlag: § 1408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