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1376 BGB — Wertermittlung des Anfangs- und Endvermögens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Der Berechnung des Anfangsvermögens wird der Wert zugrunde gelegt, den das beim Eintritt des Güterstands vorhandene Vermögen in diesem Zeitpunkt, das dem Anfangsvermögen hinzuzurechnende Vermögen im Zeitpunkt des Erwerbs hatte.</w:t>
      </w:r>
    </w:p>
    <w:p>
      <w:r>
        <w:t xml:space="preserve">(2) Der Berechnung des Endvermögens wird der Wert zugrunde gelegt, den das bei Beendigung des Güterstands vorhandene Vermögen in diesem Zeitpunkt, eine dem Endvermögen hinzuzurechnende Vermögensminderung in dem Zeitpunkt hatte, in dem sie eingetreten ist.</w:t>
      </w:r>
    </w:p>
    <w:p>
      <w:r>
        <w:t xml:space="preserve">(3) Die vorstehenden Vorschriften gelten entsprechend für die Bewertung von Verbindlichkeiten.</w:t>
      </w:r>
    </w:p>
    <w:p>
      <w:r>
        <w:t xml:space="preserve">(4) Ein land- oder forstwirtschaftlicher Betrieb, der bei der Berechnung des Anfangsvermögens und des Endvermögens zu berücksichtigen ist, ist mit dem Ertragswert anzusetzen, wenn der Eigentümer nach § 1378 Abs. 1 in Anspruch genommen wird und eine Weiterführung oder Wiederaufnahme des Betriebs durch den Eigentümer oder einen Abkömmling erwartet werden kann; die Vorschrift des § 2049 Abs. 2 ist anzuwenden.</w:t>
      </w:r>
    </w:p>
    <w:p>
      <w:r>
        <w:rPr>
          <w:color w:val="555555"/>
          <w:sz w:val="17"/>
        </w:rPr>
        <w:t xml:space="preserve">Zitiervorschlag: § 1376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https://recht.nulegal.eu/gesetze/BGB/1376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