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1375 BGB — Endvermögen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Endvermögen ist das Vermögen, das einem Ehegatten nach Abzug der Verbindlichkeiten bei der Beendigung des Güterstands gehört. Verbindlichkeiten sind über die Höhe des Vermögens hinaus abzuziehen.</w:t>
      </w:r>
    </w:p>
    <w:p>
      <w:r>
        <w:t xml:space="preserve">(2) Dem Endvermögen eines Ehegatten wird der Betrag hinzugerechnet, um den dieses Vermögen dadurch vermindert ist, dass ein Ehegatte nach Eintritt des Güterstands</w:t>
      </w:r>
    </w:p>
    <w:p>
      <w:pPr>
        <w:ind w:left="420"/>
      </w:pPr>
      <w:r>
        <w:t xml:space="preserve">1. unentgeltliche Zuwendungen gemacht hat, durch die er nicht einer sittlichen Pflicht oder einer auf den Anstand zu nehmenden Rücksicht entsprochen hat,</w:t>
      </w:r>
    </w:p>
    <w:p>
      <w:pPr>
        <w:ind w:left="420"/>
      </w:pPr>
      <w:r>
        <w:t xml:space="preserve">2. Vermögen verschwendet hat oder</w:t>
      </w:r>
    </w:p>
    <w:p>
      <w:pPr>
        <w:ind w:left="420"/>
      </w:pPr>
      <w:r>
        <w:t xml:space="preserve">3. Handlungen in der Absicht vorgenommen hat, den anderen Ehegatten zu benachteiligen.</w:t>
      </w:r>
    </w:p>
    <w:p>
      <w:r>
        <w:t xml:space="preserve">Ist das Endvermögen eines Ehegatten geringer als das Vermögen, das er in der Auskunft zum Trennungszeitpunkt angegeben hat, so hat dieser Ehegatte darzulegen und zu beweisen, dass die Vermögensminderung nicht auf Handlungen im Sinne des Satzes 1 Nummer 1 bis 3 zurückzuführen ist.</w:t>
      </w:r>
    </w:p>
    <w:p>
      <w:r>
        <w:t xml:space="preserve">(3) Der Betrag der Vermögensminderung wird dem Endvermögen nicht hinzugerechnet, wenn sie mindestens zehn Jahre vor Beendigung des Güterstands eingetreten ist oder wenn der andere Ehegatte mit der unentgeltlichen Zuwendung oder der Verschwendung einverstanden gewesen ist.</w:t>
      </w:r>
    </w:p>
    <w:p>
      <w:r>
        <w:rPr>
          <w:color w:val="555555"/>
          <w:sz w:val="17"/>
        </w:rPr>
        <w:t xml:space="preserve">Zitiervorschlag: § 1375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