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1363 BGB — Zugewinngemeinschaft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Ehegatten leben im Güterstand der Zugewinngemeinschaft, wenn sie nicht durch Ehevertrag etwas anderes vereinbaren.</w:t>
      </w:r>
    </w:p>
    <w:p>
      <w:r>
        <w:t xml:space="preserve">(2) Das jeweilige Vermögen der Ehegatten wird nicht deren gemeinschaftliches Vermögen; dies gilt auch für Vermögen, das ein Ehegatte nach der Eheschließung erwirbt. Der Zugewinn, den die Ehegatten in der Ehe erzielen, wird jedoch ausgeglichen, wenn die Zugewinngemeinschaft endet.</w:t>
      </w:r>
    </w:p>
    <w:p>
      <w:r>
        <w:rPr>
          <w:color w:val="555555"/>
          <w:sz w:val="17"/>
        </w:rPr>
        <w:t xml:space="preserve">Zitiervorschlag: § 1363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