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1355b BGB — Geschlechtsangepasste Form des Ehenamens nach sorbischer Tradition und ausländischen Rechtsordnungen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Jeder Ehegatte kann durch Erklärung gegenüber dem Standesamt bestimmen, dass er den Ehenamen in einer seinem Geschlecht angepassten Form führt, wenn</w:t>
      </w:r>
    </w:p>
    <w:p>
      <w:pPr>
        <w:ind w:left="420"/>
      </w:pPr>
      <w:r>
        <w:t xml:space="preserve">1. die Form der sorbischen Tradition entspricht und der Ehegatte dem sorbischen Volk angehört,</w:t>
      </w:r>
    </w:p>
    <w:p>
      <w:pPr>
        <w:ind w:left="420"/>
      </w:pPr>
      <w:r>
        <w:t xml:space="preserve">2. die Anpassung in der Rechtsordnung eines anderen Staates vorgesehen ist und der Herkunft des Ehegatten entspricht oder</w:t>
      </w:r>
    </w:p>
    <w:p>
      <w:pPr>
        <w:ind w:left="420"/>
      </w:pPr>
      <w:r>
        <w:t xml:space="preserve">3. die Anpassung in der Rechtsordnung eines anderen Staates vorgesehen ist und der Name traditionell aus dem dortigen Sprachraum stammt.</w:t>
      </w:r>
    </w:p>
    <w:p>
      <w:r>
        <w:t xml:space="preserve">(2) Wird eine Erklärung nach Absatz 1 nicht bei der Eheschließung abgegeben, so muss sie öffentlich beglaubigt werden.</w:t>
      </w:r>
    </w:p>
    <w:p>
      <w:r>
        <w:t xml:space="preserve">(3) Die Erklärung nach Absatz 1 kann gegenüber dem Standesamt widerrufen werden. Der Widerruf muss öffentlich beglaubigt werden. Im Fall des Widerrufs ist eine erneute Erklärung nach Absatz 1 nicht zulässig.</w:t>
      </w:r>
    </w:p>
    <w:p>
      <w:r>
        <w:rPr>
          <w:color w:val="555555"/>
          <w:sz w:val="17"/>
        </w:rPr>
        <w:t xml:space="preserve">Zitiervorschlag: § 1355b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https://recht.nulegal.eu/gesetze/BGB/1355b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