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1355a BGB — Begleitname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(1) Der Ehegatte, dessen Name nicht Ehename wird, kann durch Erklärung gegenüber dem Standesamt dem Ehenamen einen Begleitnamen voranstellen oder anfügen. Begleitname kann sein:</w:t>
      </w:r>
    </w:p>
    <w:p>
      <w:pPr>
        <w:ind w:left="420"/>
      </w:pPr>
      <w:r>
        <w:t xml:space="preserve">1. der Geburtsname dieses Ehegatten oder</w:t>
      </w:r>
    </w:p>
    <w:p>
      <w:pPr>
        <w:ind w:left="420"/>
      </w:pPr>
      <w:r>
        <w:t xml:space="preserve">2. der zur Zeit der Erklärung über die Bestimmung des Ehenamens geführte Familienname dieses Ehegatten.</w:t>
      </w:r>
    </w:p>
    <w:p>
      <w:r>
        <w:t xml:space="preserve">Besteht der Name, der Begleitname werden soll, aus mehreren Namen, kann nur einer dieser Namen Begleitname sein. Mit der Erklärung nach Satz 1 kann der Ehegatte auch bestimmen, dass der Ehename und der Begleitname durch einen Bindestrich verbunden werden.</w:t>
      </w:r>
    </w:p>
    <w:p>
      <w:r>
        <w:t xml:space="preserve">(2) Absatz 1 gilt nicht, wenn der Ehename aus mehreren Namen besteht.</w:t>
      </w:r>
    </w:p>
    <w:p>
      <w:r>
        <w:t xml:space="preserve">(3) Wird die Erklärung nach Absatz 1 Satz 1 nicht bei der Eheschließung abgegeben, so muss sie öffentlich beglaubigt werden.</w:t>
      </w:r>
    </w:p>
    <w:p>
      <w:r>
        <w:t xml:space="preserve">(4) Die Erklärung nach Absatz 1 Satz 1 kann gegenüber dem Standesamt widerrufen werden. Der Widerruf muss öffentlich beglaubigt werden. Im Fall des Widerrufs ist eine erneute Erklärung nach Absatz 1 Satz 1 nicht zulässig.</w:t>
      </w:r>
    </w:p>
    <w:p>
      <w:r>
        <w:rPr>
          <w:color w:val="555555"/>
          <w:sz w:val="17"/>
        </w:rPr>
        <w:t xml:space="preserve">Zitiervorschlag: § 1355a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https://recht.nulegal.eu/gesetze/BGB/1355a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