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1288 BGB — Anlegung eingezogenen Geldes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Wird eine Geldforderung in Gemäßheit des § 1281 eingezogen, so sind der Pfandgläubiger und der Gläubiger einander verpflichtet, dazu mitzuwirken, dass der eingezogene Betrag, soweit es ohne Beeinträchtigung des Interesses des Pfandgläubigers tunlich ist, der Rechtsverordnung nach § 240a entsprechend angelegt und gleichzeitig dem Pfandgläubiger das Pfandrecht bestellt wird. Die Art der Anlegung bestimmt der Gläubiger.</w:t>
      </w:r>
    </w:p>
    <w:p>
      <w:r>
        <w:t xml:space="preserve">(2) Erfolgt die Einziehung in Gemäßheit des § 1282, so gilt die Forderung des Pfandgläubigers, soweit ihm der eingezogene Betrag zu seiner Befriedigung gebührt, als von dem Gläubiger berichtigt.</w:t>
      </w:r>
    </w:p>
    <w:p>
      <w:r>
        <w:rPr>
          <w:color w:val="555555"/>
          <w:sz w:val="17"/>
        </w:rPr>
        <w:t xml:space="preserve">Zitiervorschlag: § 1288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