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1282 BGB — Leistung nach Fälligkeit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Sind die Voraussetzungen des § 1228 Abs. 2 eingetreten, so ist der Pfandgläubiger zur Einziehung der Forderung berechtigt und kann der Schuldner nur an ihn leisten. Die Einziehung einer Geldforderung steht dem Pfandgläubiger nur insoweit zu, als sie zu seiner Befriedigung erforderlich ist. Soweit er zur Einziehung berechtigt ist, kann er auch verlangen, dass ihm die Geldforderung an Zahlungs statt abgetreten wird.</w:t>
      </w:r>
    </w:p>
    <w:p>
      <w:r>
        <w:t xml:space="preserve">(2) Zu anderen Verfügungen über die Forderung ist der Pfandgläubiger nicht berechtigt; das Recht, die Befriedigung aus der Forderung nach § 1277 zu suchen, bleibt unberührt.</w:t>
      </w:r>
    </w:p>
    <w:p>
      <w:r>
        <w:rPr>
          <w:color w:val="555555"/>
          <w:sz w:val="17"/>
        </w:rPr>
        <w:t xml:space="preserve">Zitiervorschlag: § 1282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