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1276 BGB — Aufhebung oder Änderung des verpfändeten Rechts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verpfändetes Recht kann durch Rechtsgeschäft nur mit Zustimmung des Pfandgläubigers aufgehoben werden. Die Zustimmung ist demjenigen gegenüber zu erklären, zu dessen Gunsten sie erfolgt; sie ist unwiderruflich. Die Vorschrift des § 876 Satz 3 bleibt unberührt.</w:t>
      </w:r>
    </w:p>
    <w:p>
      <w:r>
        <w:t xml:space="preserve">(2) Das Gleiche gilt im Falle einer Änderung des Rechts, sofern sie das Pfandrecht beeinträchtigt.</w:t>
      </w:r>
    </w:p>
    <w:p>
      <w:r>
        <w:rPr>
          <w:color w:val="555555"/>
          <w:sz w:val="17"/>
        </w:rPr>
        <w:t xml:space="preserve">Zitiervorschlag: § 1276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https://recht.nulegal.eu/gesetze/BGB/1276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