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1273 BGB — Gesetzlicher Inhalt des Pfandrechts an Rechten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Gegenstand des Pfandrechts kann auch ein Recht sein.</w:t>
      </w:r>
    </w:p>
    <w:p>
      <w:r>
        <w:t xml:space="preserve">(2) Auf das Pfandrecht an Rechten finden die Vorschriften über das Pfandrecht an beweglichen Sachen entsprechende Anwendung, soweit sich nicht aus den §§ 1274 bis 1296 ein anderes ergibt. Die Anwendung der Vorschriften des § 1208 und des § 1213 Abs. 2 ist ausgeschlossen.</w:t>
      </w:r>
    </w:p>
    <w:p>
      <w:r>
        <w:rPr>
          <w:color w:val="555555"/>
          <w:sz w:val="17"/>
        </w:rPr>
        <w:t xml:space="preserve">Zitiervorschlag: § 1273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