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126b BGB — Textform</w:t>
      </w:r>
    </w:p>
    <w:p>
      <w:r>
        <w:rPr>
          <w:color w:val="555555"/>
          <w:sz w:val="18"/>
        </w:rPr>
        <w:t xml:space="preserve">Bürgerliches Gesetzbuch</w:t>
      </w:r>
    </w:p>
    <w:p>
      <w:r>
        <w:rPr>
          <w:color w:val="555555"/>
          <w:sz w:val="18"/>
        </w:rPr>
        <w:t xml:space="preserve">Stand: 10.06.2019 (konsolidierte Textfassung, kein amtliches Inkrafttretensdatum)</w:t>
      </w:r>
    </w:p>
    <w:p>
      <w:r>
        <w:t xml:space="preserve">Ist durch Gesetz Textform vorgeschrieben, so muss eine lesbare Erklärung, in der die Person des Erklärenden genannt ist, auf einem dauerhaften Datenträger abgegeben werden. Ein dauerhafter Datenträger ist jedes Medium, das</w:t>
      </w:r>
    </w:p>
    <w:p>
      <w:pPr>
        <w:ind w:left="420"/>
      </w:pPr>
      <w:r>
        <w:t xml:space="preserve">1. es dem Empfänger ermöglicht, eine auf dem Datenträger befindliche, an ihn persönlich gerichtete Erklärung so aufzubewahren oder zu speichern, dass sie ihm während eines für ihren Zweck angemessenen Zeitraums zugänglich ist, und</w:t>
      </w:r>
    </w:p>
    <w:p>
      <w:pPr>
        <w:ind w:left="420"/>
      </w:pPr>
      <w:r>
        <w:t xml:space="preserve">2. geeignet ist, die Erklärung unverändert wiederzugeben.</w:t>
      </w:r>
    </w:p>
    <w:p>
      <w:r>
        <w:rPr>
          <w:color w:val="555555"/>
          <w:sz w:val="17"/>
        </w:rPr>
        <w:t xml:space="preserve">Zitiervorschlag: § 126b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https://recht.nulegal.eu/gesetze/BGB/126b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